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Style w:val="11"/>
          <w:rFonts w:hint="eastAsia" w:ascii="黑体" w:hAnsi="黑体" w:eastAsia="黑体" w:cs="宋体"/>
          <w:b w:val="0"/>
          <w:kern w:val="0"/>
          <w:sz w:val="24"/>
          <w:szCs w:val="24"/>
        </w:rPr>
      </w:pPr>
      <w:r>
        <w:rPr>
          <w:rStyle w:val="11"/>
          <w:rFonts w:hint="eastAsia" w:ascii="黑体" w:hAnsi="黑体" w:eastAsia="黑体" w:cs="宋体"/>
          <w:b w:val="0"/>
          <w:kern w:val="0"/>
          <w:sz w:val="24"/>
          <w:szCs w:val="24"/>
        </w:rPr>
        <w:t>新疆银行“金胡杨·</w:t>
      </w:r>
      <w:r>
        <w:rPr>
          <w:rStyle w:val="11"/>
          <w:rFonts w:hint="eastAsia" w:ascii="黑体" w:hAnsi="黑体" w:eastAsia="黑体" w:cs="宋体"/>
          <w:b w:val="0"/>
          <w:kern w:val="0"/>
          <w:sz w:val="24"/>
          <w:szCs w:val="24"/>
          <w:lang w:eastAsia="zh-CN"/>
        </w:rPr>
        <w:t>定开新</w:t>
      </w:r>
      <w:r>
        <w:rPr>
          <w:rStyle w:val="11"/>
          <w:rFonts w:hint="eastAsia" w:ascii="黑体" w:hAnsi="黑体" w:eastAsia="黑体" w:cs="宋体"/>
          <w:b w:val="0"/>
          <w:kern w:val="0"/>
          <w:sz w:val="24"/>
          <w:szCs w:val="24"/>
        </w:rPr>
        <w:t>”</w:t>
      </w:r>
      <w:r>
        <w:rPr>
          <w:rStyle w:val="11"/>
          <w:rFonts w:hint="eastAsia" w:ascii="黑体" w:hAnsi="黑体" w:eastAsia="黑体" w:cs="宋体"/>
          <w:b w:val="0"/>
          <w:kern w:val="0"/>
          <w:sz w:val="24"/>
          <w:szCs w:val="24"/>
          <w:lang w:eastAsia="zh-CN"/>
        </w:rPr>
        <w:t>（</w:t>
      </w:r>
      <w:r>
        <w:rPr>
          <w:rStyle w:val="11"/>
          <w:rFonts w:hint="eastAsia" w:ascii="黑体" w:hAnsi="黑体" w:eastAsia="黑体" w:cs="宋体"/>
          <w:b w:val="0"/>
          <w:kern w:val="0"/>
          <w:sz w:val="24"/>
          <w:szCs w:val="24"/>
          <w:lang w:val="en-US" w:eastAsia="zh-CN"/>
        </w:rPr>
        <w:t>180天）周期</w:t>
      </w:r>
      <w:r>
        <w:rPr>
          <w:rStyle w:val="11"/>
          <w:rFonts w:hint="eastAsia" w:ascii="黑体" w:hAnsi="黑体" w:eastAsia="黑体" w:cs="宋体"/>
          <w:b w:val="0"/>
          <w:kern w:val="0"/>
          <w:sz w:val="24"/>
          <w:szCs w:val="24"/>
        </w:rPr>
        <w:t>开放</w:t>
      </w:r>
      <w:r>
        <w:rPr>
          <w:rStyle w:val="11"/>
          <w:rFonts w:hint="eastAsia" w:ascii="黑体" w:hAnsi="黑体" w:eastAsia="黑体" w:cs="宋体"/>
          <w:b w:val="0"/>
          <w:kern w:val="0"/>
          <w:sz w:val="24"/>
          <w:szCs w:val="24"/>
          <w:lang w:eastAsia="zh-CN"/>
        </w:rPr>
        <w:t>式</w:t>
      </w:r>
      <w:r>
        <w:rPr>
          <w:rStyle w:val="11"/>
          <w:rFonts w:hint="eastAsia" w:ascii="黑体" w:hAnsi="黑体" w:eastAsia="黑体" w:cs="宋体"/>
          <w:b w:val="0"/>
          <w:kern w:val="0"/>
          <w:sz w:val="24"/>
          <w:szCs w:val="24"/>
        </w:rPr>
        <w:t>净值型人民币理财产品说明书</w:t>
      </w:r>
    </w:p>
    <w:p>
      <w:pPr>
        <w:widowControl/>
        <w:spacing w:line="400" w:lineRule="exact"/>
        <w:jc w:val="center"/>
        <w:rPr>
          <w:rStyle w:val="11"/>
          <w:rFonts w:hint="eastAsia" w:ascii="黑体" w:hAnsi="黑体" w:eastAsia="黑体" w:cs="宋体"/>
          <w:b w:val="0"/>
          <w:kern w:val="0"/>
          <w:sz w:val="28"/>
          <w:szCs w:val="28"/>
        </w:rPr>
      </w:pPr>
      <w:bookmarkStart w:id="0" w:name="_GoBack"/>
      <w:bookmarkEnd w:id="0"/>
      <w:r>
        <w:rPr>
          <w:rStyle w:val="11"/>
          <w:rFonts w:hint="eastAsia" w:ascii="宋体" w:hAnsi="宋体" w:cs="宋体"/>
          <w:kern w:val="0"/>
          <w:sz w:val="18"/>
          <w:szCs w:val="18"/>
        </w:rPr>
        <w:t>理财产品过往业绩不代表其未来表现，不等于理财产品实际收益</w:t>
      </w:r>
    </w:p>
    <w:p>
      <w:pPr>
        <w:widowControl/>
        <w:spacing w:line="400" w:lineRule="exact"/>
        <w:jc w:val="center"/>
        <w:rPr>
          <w:rStyle w:val="11"/>
          <w:rFonts w:ascii="宋体" w:hAnsi="宋体" w:cs="宋体"/>
          <w:kern w:val="0"/>
          <w:sz w:val="18"/>
          <w:szCs w:val="18"/>
        </w:rPr>
      </w:pPr>
      <w:r>
        <w:rPr>
          <w:rStyle w:val="11"/>
          <w:rFonts w:hint="eastAsia" w:ascii="宋体" w:hAnsi="宋体" w:cs="宋体"/>
          <w:kern w:val="0"/>
          <w:sz w:val="18"/>
          <w:szCs w:val="18"/>
        </w:rPr>
        <w:t>理财非存款、产品有风险、投资须谨慎</w:t>
      </w:r>
    </w:p>
    <w:p>
      <w:pPr>
        <w:widowControl/>
        <w:spacing w:line="400" w:lineRule="exact"/>
        <w:rPr>
          <w:rStyle w:val="11"/>
          <w:rFonts w:ascii="华文仿宋" w:hAnsi="华文仿宋" w:eastAsia="华文仿宋" w:cs="华文仿宋"/>
          <w:kern w:val="0"/>
          <w:sz w:val="24"/>
          <w:szCs w:val="24"/>
        </w:rPr>
      </w:pPr>
      <w:r>
        <w:rPr>
          <w:rStyle w:val="11"/>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华文仿宋" w:hAnsi="华文仿宋" w:eastAsia="华文仿宋" w:cs="华文仿宋"/>
          <w:b/>
          <w:bCs/>
          <w:color w:val="000000" w:themeColor="text1"/>
          <w:sz w:val="24"/>
          <w:szCs w:val="24"/>
          <w:lang w:val="en-US" w:eastAsia="zh-CN"/>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投资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widowControl/>
        <w:spacing w:line="400" w:lineRule="exact"/>
        <w:rPr>
          <w:rStyle w:val="11"/>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8255"/>
                <wp:wrapNone/>
                <wp:docPr id="1"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1681DA"/>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1681DA" filled="t" stroked="t" coordsize="21600,21600" o:gfxdata="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pyS2tgAAAAHAQAADwAAAAAAAAABACAAAAAiAAAAZHJzL2Rvd25yZXYueG1s&#10;UEsBAhQAFAAAAAgAh07iQD7zppr4AQAA9gMAAA4AAAAAAAAAAQAgAAAAJwEAAGRycy9lMm9Eb2Mu&#10;eG1sUEsFBgAAAAAGAAYAWQEAAJEFA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widowControl/>
        <w:spacing w:line="400" w:lineRule="exact"/>
        <w:rPr>
          <w:rStyle w:val="11"/>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429125"/>
                <wp:effectExtent l="4445" t="4445" r="14605" b="11430"/>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highlight w:val="none"/>
                              </w:rPr>
                            </w:pPr>
                            <w:r>
                              <w:rPr>
                                <w:rStyle w:val="11"/>
                                <w:rFonts w:hint="eastAsia" w:ascii="华文仿宋" w:hAnsi="华文仿宋" w:eastAsia="华文仿宋" w:cs="华文仿宋"/>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ascii="宋体" w:hAnsi="宋体" w:cs="宋体"/>
                                <w:b w:val="0"/>
                                <w:bCs w:val="0"/>
                                <w:kern w:val="0"/>
                                <w:szCs w:val="21"/>
                              </w:rPr>
                            </w:pPr>
                            <w:r>
                              <w:rPr>
                                <w:rStyle w:val="11"/>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11"/>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48.75pt;width:490.5pt;z-index:251658240;mso-width-relative:page;mso-height-relative:page;" fillcolor="#FFFFFF" filled="t" stroked="t" coordsize="21600,21600" o:gfxdata="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1EB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highlight w:val="none"/>
                        </w:rPr>
                      </w:pPr>
                      <w:r>
                        <w:rPr>
                          <w:rStyle w:val="11"/>
                          <w:rFonts w:hint="eastAsia" w:ascii="华文仿宋" w:hAnsi="华文仿宋" w:eastAsia="华文仿宋" w:cs="华文仿宋"/>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ascii="宋体" w:hAnsi="宋体" w:cs="宋体"/>
                          <w:b w:val="0"/>
                          <w:bCs w:val="0"/>
                          <w:kern w:val="0"/>
                          <w:szCs w:val="21"/>
                        </w:rPr>
                      </w:pPr>
                      <w:r>
                        <w:rPr>
                          <w:rStyle w:val="11"/>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11"/>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11"/>
          <w:rFonts w:hint="eastAsia" w:ascii="宋体" w:hAnsi="宋体" w:cs="宋体"/>
          <w:color w:val="FFFFFF" w:themeColor="background1"/>
          <w:kern w:val="0"/>
          <w:sz w:val="18"/>
          <w:szCs w:val="18"/>
          <w14:textFill>
            <w14:solidFill>
              <w14:schemeClr w14:val="bg1"/>
            </w14:solidFill>
          </w14:textFill>
        </w:rPr>
        <w:t>一、特别提示</w:t>
      </w: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1681DA"/>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widowControl/>
              <w:spacing w:line="400" w:lineRule="exact"/>
              <w:jc w:val="left"/>
              <w:rPr>
                <w:rFonts w:ascii="华文仿宋" w:hAnsi="华文仿宋" w:eastAsia="华文仿宋" w:cs="华文仿宋"/>
                <w:bCs/>
                <w:kern w:val="0"/>
                <w:sz w:val="24"/>
                <w:szCs w:val="24"/>
              </w:rPr>
            </w:pPr>
            <w:r>
              <w:rPr>
                <w:rStyle w:val="11"/>
                <w:rFonts w:hint="eastAsia" w:ascii="华文仿宋" w:hAnsi="华文仿宋" w:eastAsia="华文仿宋" w:cs="华文仿宋"/>
                <w:b w:val="0"/>
                <w:bCs w:val="0"/>
                <w:kern w:val="0"/>
                <w:sz w:val="24"/>
                <w:szCs w:val="24"/>
              </w:rPr>
              <w:t>“金胡杨·</w:t>
            </w:r>
            <w:r>
              <w:rPr>
                <w:rStyle w:val="11"/>
                <w:rFonts w:hint="eastAsia" w:ascii="华文仿宋" w:hAnsi="华文仿宋" w:eastAsia="华文仿宋" w:cs="华文仿宋"/>
                <w:b w:val="0"/>
                <w:bCs w:val="0"/>
                <w:kern w:val="0"/>
                <w:sz w:val="24"/>
                <w:szCs w:val="24"/>
                <w:lang w:eastAsia="zh-CN"/>
              </w:rPr>
              <w:t>定开新</w:t>
            </w:r>
            <w:r>
              <w:rPr>
                <w:rStyle w:val="11"/>
                <w:rFonts w:hint="eastAsia" w:ascii="华文仿宋" w:hAnsi="华文仿宋" w:eastAsia="华文仿宋" w:cs="华文仿宋"/>
                <w:b w:val="0"/>
                <w:bCs w:val="0"/>
                <w:kern w:val="0"/>
                <w:sz w:val="24"/>
                <w:szCs w:val="24"/>
              </w:rPr>
              <w:t>”</w:t>
            </w:r>
            <w:r>
              <w:rPr>
                <w:rStyle w:val="11"/>
                <w:rFonts w:hint="eastAsia" w:ascii="华文仿宋" w:hAnsi="华文仿宋" w:eastAsia="华文仿宋" w:cs="华文仿宋"/>
                <w:b w:val="0"/>
                <w:bCs w:val="0"/>
                <w:kern w:val="0"/>
                <w:sz w:val="24"/>
                <w:szCs w:val="24"/>
                <w:lang w:eastAsia="zh-CN"/>
              </w:rPr>
              <w:t>（</w:t>
            </w:r>
            <w:r>
              <w:rPr>
                <w:rStyle w:val="11"/>
                <w:rFonts w:hint="eastAsia" w:ascii="华文仿宋" w:hAnsi="华文仿宋" w:eastAsia="华文仿宋" w:cs="华文仿宋"/>
                <w:b w:val="0"/>
                <w:bCs w:val="0"/>
                <w:kern w:val="0"/>
                <w:sz w:val="24"/>
                <w:szCs w:val="24"/>
                <w:lang w:val="en-US" w:eastAsia="zh-CN"/>
              </w:rPr>
              <w:t>180天）周期</w:t>
            </w:r>
            <w:r>
              <w:rPr>
                <w:rStyle w:val="11"/>
                <w:rFonts w:hint="eastAsia" w:ascii="华文仿宋" w:hAnsi="华文仿宋" w:eastAsia="华文仿宋" w:cs="华文仿宋"/>
                <w:b w:val="0"/>
                <w:bCs w:val="0"/>
                <w:kern w:val="0"/>
                <w:sz w:val="24"/>
                <w:szCs w:val="24"/>
              </w:rPr>
              <w:t>开放</w:t>
            </w:r>
            <w:r>
              <w:rPr>
                <w:rStyle w:val="11"/>
                <w:rFonts w:hint="eastAsia" w:ascii="华文仿宋" w:hAnsi="华文仿宋" w:eastAsia="华文仿宋" w:cs="华文仿宋"/>
                <w:b w:val="0"/>
                <w:bCs w:val="0"/>
                <w:kern w:val="0"/>
                <w:sz w:val="24"/>
                <w:szCs w:val="24"/>
                <w:lang w:eastAsia="zh-CN"/>
              </w:rPr>
              <w:t>式</w:t>
            </w:r>
            <w:r>
              <w:rPr>
                <w:rStyle w:val="11"/>
                <w:rFonts w:hint="eastAsia" w:ascii="华文仿宋" w:hAnsi="华文仿宋" w:eastAsia="华文仿宋" w:cs="华文仿宋"/>
                <w:b w:val="0"/>
                <w:bCs w:val="0"/>
                <w:kern w:val="0"/>
                <w:sz w:val="24"/>
                <w:szCs w:val="24"/>
              </w:rPr>
              <w:t>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val="en-US" w:eastAsia="zh-CN"/>
              </w:rPr>
              <w:t>C1364320000065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募集方式</w:t>
            </w:r>
          </w:p>
        </w:tc>
        <w:tc>
          <w:tcPr>
            <w:tcW w:w="8048" w:type="dxa"/>
            <w:vAlign w:val="center"/>
          </w:tcPr>
          <w:p>
            <w:pPr>
              <w:widowControl/>
              <w:spacing w:line="400" w:lineRule="exact"/>
              <w:jc w:val="left"/>
              <w:rPr>
                <w:rStyle w:val="11"/>
                <w:rFonts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widowControl/>
              <w:spacing w:line="400" w:lineRule="exact"/>
              <w:jc w:val="left"/>
              <w:rPr>
                <w:rFonts w:ascii="华文仿宋" w:hAnsi="华文仿宋" w:eastAsia="华文仿宋" w:cs="华文仿宋"/>
                <w:b/>
                <w:bCs w:val="0"/>
                <w:sz w:val="24"/>
                <w:szCs w:val="24"/>
              </w:rPr>
            </w:pPr>
            <w:r>
              <w:rPr>
                <w:rStyle w:val="11"/>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widowControl/>
              <w:spacing w:line="400" w:lineRule="exact"/>
              <w:jc w:val="left"/>
              <w:rPr>
                <w:rStyle w:val="11"/>
                <w:rFonts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widowControl/>
              <w:spacing w:line="400" w:lineRule="exact"/>
              <w:jc w:val="left"/>
              <w:rPr>
                <w:rStyle w:val="11"/>
                <w:rFonts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widowControl/>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rPr>
              <w:t>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内部风险评级</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适合客户类型</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经新疆银行风险评估，本产品适合</w:t>
            </w:r>
            <w:r>
              <w:rPr>
                <w:rFonts w:hint="eastAsia" w:ascii="华文仿宋" w:hAnsi="华文仿宋" w:eastAsia="华文仿宋" w:cs="华文仿宋"/>
                <w:b/>
                <w:bCs/>
                <w:kern w:val="0"/>
                <w:sz w:val="24"/>
                <w:szCs w:val="24"/>
              </w:rPr>
              <w:t>稳健型、平衡型、成长型、进取型</w:t>
            </w:r>
            <w:r>
              <w:rPr>
                <w:rFonts w:hint="eastAsia" w:ascii="华文仿宋" w:hAnsi="华文仿宋" w:eastAsia="华文仿宋" w:cs="华文仿宋"/>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本理财产品认购起点为人民币1万元，以1千元整数倍递增。</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万元。若认购金额未达规模下限则产品不成立，若认购/申购金额超出规模上限，则发行银行有权暂停接受认购和申购申请，新疆银行有权对本理财产品规模上限进行调整。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产品认购期</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20</w:t>
            </w:r>
            <w:r>
              <w:rPr>
                <w:rFonts w:hint="eastAsia" w:ascii="华文仿宋" w:hAnsi="华文仿宋" w:eastAsia="华文仿宋" w:cs="华文仿宋"/>
                <w:b/>
                <w:bCs/>
                <w:kern w:val="0"/>
                <w:sz w:val="24"/>
                <w:szCs w:val="24"/>
                <w:lang w:val="en-US" w:eastAsia="zh-CN"/>
              </w:rPr>
              <w:t>20</w:t>
            </w:r>
            <w:r>
              <w:rPr>
                <w:rFonts w:hint="eastAsia" w:ascii="华文仿宋" w:hAnsi="华文仿宋" w:eastAsia="华文仿宋" w:cs="华文仿宋"/>
                <w:b/>
                <w:bCs/>
                <w:kern w:val="0"/>
                <w:sz w:val="24"/>
                <w:szCs w:val="24"/>
              </w:rPr>
              <w:t>年</w:t>
            </w:r>
            <w:r>
              <w:rPr>
                <w:rFonts w:hint="eastAsia" w:ascii="华文仿宋" w:hAnsi="华文仿宋" w:eastAsia="华文仿宋" w:cs="华文仿宋"/>
                <w:b/>
                <w:bCs/>
                <w:kern w:val="0"/>
                <w:sz w:val="24"/>
                <w:szCs w:val="24"/>
                <w:lang w:val="en-US" w:eastAsia="zh-CN"/>
              </w:rPr>
              <w:t>12月16</w:t>
            </w:r>
            <w:r>
              <w:rPr>
                <w:rFonts w:hint="eastAsia" w:ascii="华文仿宋" w:hAnsi="华文仿宋" w:eastAsia="华文仿宋" w:cs="华文仿宋"/>
                <w:b/>
                <w:bCs/>
                <w:kern w:val="0"/>
                <w:sz w:val="24"/>
                <w:szCs w:val="24"/>
              </w:rPr>
              <w:t>日至20</w:t>
            </w:r>
            <w:r>
              <w:rPr>
                <w:rFonts w:hint="eastAsia" w:ascii="华文仿宋" w:hAnsi="华文仿宋" w:eastAsia="华文仿宋" w:cs="华文仿宋"/>
                <w:b/>
                <w:bCs/>
                <w:kern w:val="0"/>
                <w:sz w:val="24"/>
                <w:szCs w:val="24"/>
                <w:lang w:val="en-US" w:eastAsia="zh-CN"/>
              </w:rPr>
              <w:t>20</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12</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22</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20</w:t>
            </w:r>
            <w:r>
              <w:rPr>
                <w:rFonts w:hint="eastAsia" w:ascii="华文仿宋" w:hAnsi="华文仿宋" w:eastAsia="华文仿宋" w:cs="华文仿宋"/>
                <w:b/>
                <w:bCs/>
                <w:kern w:val="0"/>
                <w:sz w:val="24"/>
                <w:szCs w:val="24"/>
                <w:lang w:val="en-US" w:eastAsia="zh-CN"/>
              </w:rPr>
              <w:t>20</w:t>
            </w:r>
            <w:r>
              <w:rPr>
                <w:rFonts w:hint="eastAsia" w:ascii="华文仿宋" w:hAnsi="华文仿宋" w:eastAsia="华文仿宋" w:cs="华文仿宋"/>
                <w:b/>
                <w:bCs/>
                <w:kern w:val="0"/>
                <w:sz w:val="24"/>
                <w:szCs w:val="24"/>
              </w:rPr>
              <w:t>年</w:t>
            </w:r>
            <w:r>
              <w:rPr>
                <w:rFonts w:hint="eastAsia" w:ascii="华文仿宋" w:hAnsi="华文仿宋" w:eastAsia="华文仿宋" w:cs="华文仿宋"/>
                <w:b/>
                <w:bCs/>
                <w:kern w:val="0"/>
                <w:sz w:val="24"/>
                <w:szCs w:val="24"/>
                <w:lang w:val="en-US" w:eastAsia="zh-CN"/>
              </w:rPr>
              <w:t>12月23</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理财产品自成立日起计算理财收益。在正常情况下，产品的成立日为认购期结束后的第一个工作日。但在以下两种情形除外：（1）若在认购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产品开放期</w:t>
            </w:r>
          </w:p>
        </w:tc>
        <w:tc>
          <w:tcPr>
            <w:tcW w:w="8048" w:type="dxa"/>
            <w:vAlign w:val="center"/>
          </w:tcPr>
          <w:p>
            <w:pPr>
              <w:widowControl/>
              <w:spacing w:line="300" w:lineRule="exact"/>
              <w:ind w:firstLine="480" w:firstLineChars="200"/>
              <w:jc w:val="left"/>
              <w:rPr>
                <w:rFonts w:ascii="华文仿宋" w:hAnsi="华文仿宋" w:eastAsia="华文仿宋" w:cs="华文仿宋"/>
                <w:b/>
                <w:bCs/>
                <w:color w:val="auto"/>
                <w:kern w:val="0"/>
                <w:sz w:val="24"/>
                <w:szCs w:val="24"/>
                <w:highlight w:val="none"/>
              </w:rPr>
            </w:pPr>
            <w:r>
              <w:rPr>
                <w:rFonts w:hint="eastAsia" w:ascii="华文仿宋" w:hAnsi="华文仿宋" w:eastAsia="华文仿宋" w:cs="华文仿宋"/>
                <w:b/>
                <w:bCs/>
                <w:color w:val="auto"/>
                <w:kern w:val="0"/>
                <w:sz w:val="24"/>
                <w:szCs w:val="24"/>
                <w:highlight w:val="none"/>
                <w:lang w:eastAsia="zh-CN"/>
              </w:rPr>
              <w:t>本理财从成立开始，每</w:t>
            </w:r>
            <w:r>
              <w:rPr>
                <w:rFonts w:hint="eastAsia" w:ascii="华文仿宋" w:hAnsi="华文仿宋" w:eastAsia="华文仿宋" w:cs="华文仿宋"/>
                <w:b/>
                <w:bCs/>
                <w:color w:val="auto"/>
                <w:kern w:val="0"/>
                <w:sz w:val="24"/>
                <w:szCs w:val="24"/>
                <w:highlight w:val="none"/>
                <w:lang w:val="en-US" w:eastAsia="zh-CN"/>
              </w:rPr>
              <w:t>180天开放申购赎回，</w:t>
            </w:r>
            <w:r>
              <w:rPr>
                <w:rFonts w:hint="eastAsia" w:ascii="华文仿宋" w:hAnsi="华文仿宋" w:eastAsia="华文仿宋" w:cs="华文仿宋"/>
                <w:b/>
                <w:bCs/>
                <w:color w:val="auto"/>
                <w:kern w:val="0"/>
                <w:sz w:val="24"/>
                <w:szCs w:val="24"/>
                <w:highlight w:val="none"/>
              </w:rPr>
              <w:t>如遇法定节假日，则</w:t>
            </w:r>
            <w:r>
              <w:rPr>
                <w:rFonts w:hint="eastAsia" w:ascii="华文仿宋" w:hAnsi="华文仿宋" w:eastAsia="华文仿宋" w:cs="华文仿宋"/>
                <w:b/>
                <w:bCs/>
                <w:color w:val="auto"/>
                <w:kern w:val="0"/>
                <w:sz w:val="24"/>
                <w:szCs w:val="24"/>
                <w:highlight w:val="none"/>
                <w:lang w:eastAsia="zh-CN"/>
              </w:rPr>
              <w:t>开放期顺延</w:t>
            </w:r>
            <w:r>
              <w:rPr>
                <w:rFonts w:hint="eastAsia" w:ascii="华文仿宋" w:hAnsi="华文仿宋" w:eastAsia="华文仿宋" w:cs="华文仿宋"/>
                <w:b/>
                <w:bCs/>
                <w:color w:val="auto"/>
                <w:kern w:val="0"/>
                <w:sz w:val="24"/>
                <w:szCs w:val="24"/>
                <w:highlight w:val="none"/>
              </w:rPr>
              <w:t>至下一个工作日，银行有权在特殊情形下调整按上述规则确定开放日。具体开放时间以公告为准，开放期公告将通过新疆银行网站公布。</w:t>
            </w:r>
          </w:p>
          <w:p>
            <w:pPr>
              <w:widowControl/>
              <w:spacing w:line="300" w:lineRule="exact"/>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b/>
                <w:bCs/>
                <w:color w:val="auto"/>
                <w:kern w:val="0"/>
                <w:sz w:val="24"/>
                <w:szCs w:val="24"/>
                <w:highlight w:val="none"/>
              </w:rPr>
              <w:t>首次开放期为20</w:t>
            </w:r>
            <w:r>
              <w:rPr>
                <w:rFonts w:hint="eastAsia" w:ascii="华文仿宋" w:hAnsi="华文仿宋" w:eastAsia="华文仿宋" w:cs="华文仿宋"/>
                <w:b/>
                <w:bCs/>
                <w:color w:val="auto"/>
                <w:kern w:val="0"/>
                <w:sz w:val="24"/>
                <w:szCs w:val="24"/>
                <w:highlight w:val="none"/>
                <w:lang w:val="en-US" w:eastAsia="zh-CN"/>
              </w:rPr>
              <w:t>21</w:t>
            </w:r>
            <w:r>
              <w:rPr>
                <w:rFonts w:hint="eastAsia" w:ascii="华文仿宋" w:hAnsi="华文仿宋" w:eastAsia="华文仿宋" w:cs="华文仿宋"/>
                <w:b/>
                <w:bCs/>
                <w:color w:val="auto"/>
                <w:kern w:val="0"/>
                <w:sz w:val="24"/>
                <w:szCs w:val="24"/>
                <w:highlight w:val="none"/>
              </w:rPr>
              <w:t>年</w:t>
            </w:r>
            <w:r>
              <w:rPr>
                <w:rFonts w:hint="eastAsia" w:ascii="华文仿宋" w:hAnsi="华文仿宋" w:eastAsia="华文仿宋" w:cs="华文仿宋"/>
                <w:b/>
                <w:bCs/>
                <w:color w:val="auto"/>
                <w:kern w:val="0"/>
                <w:sz w:val="24"/>
                <w:szCs w:val="24"/>
                <w:highlight w:val="none"/>
                <w:lang w:val="en-US" w:eastAsia="zh-CN"/>
              </w:rPr>
              <w:t>06</w:t>
            </w:r>
            <w:r>
              <w:rPr>
                <w:rFonts w:hint="eastAsia" w:ascii="华文仿宋" w:hAnsi="华文仿宋" w:eastAsia="华文仿宋" w:cs="华文仿宋"/>
                <w:b/>
                <w:bCs/>
                <w:color w:val="auto"/>
                <w:kern w:val="0"/>
                <w:sz w:val="24"/>
                <w:szCs w:val="24"/>
                <w:highlight w:val="none"/>
              </w:rPr>
              <w:t>月</w:t>
            </w:r>
            <w:r>
              <w:rPr>
                <w:rFonts w:hint="eastAsia" w:ascii="华文仿宋" w:hAnsi="华文仿宋" w:eastAsia="华文仿宋" w:cs="华文仿宋"/>
                <w:b/>
                <w:bCs/>
                <w:color w:val="auto"/>
                <w:kern w:val="0"/>
                <w:sz w:val="24"/>
                <w:szCs w:val="24"/>
                <w:highlight w:val="none"/>
                <w:lang w:val="en-US" w:eastAsia="zh-CN"/>
              </w:rPr>
              <w:t>15</w:t>
            </w:r>
            <w:r>
              <w:rPr>
                <w:rFonts w:hint="eastAsia" w:ascii="华文仿宋" w:hAnsi="华文仿宋" w:eastAsia="华文仿宋" w:cs="华文仿宋"/>
                <w:b/>
                <w:bCs/>
                <w:color w:val="auto"/>
                <w:kern w:val="0"/>
                <w:sz w:val="24"/>
                <w:szCs w:val="24"/>
                <w:highlight w:val="none"/>
              </w:rPr>
              <w:t>至20</w:t>
            </w:r>
            <w:r>
              <w:rPr>
                <w:rFonts w:hint="eastAsia" w:ascii="华文仿宋" w:hAnsi="华文仿宋" w:eastAsia="华文仿宋" w:cs="华文仿宋"/>
                <w:b/>
                <w:bCs/>
                <w:color w:val="auto"/>
                <w:kern w:val="0"/>
                <w:sz w:val="24"/>
                <w:szCs w:val="24"/>
                <w:highlight w:val="none"/>
                <w:lang w:val="en-US" w:eastAsia="zh-CN"/>
              </w:rPr>
              <w:t>21</w:t>
            </w:r>
            <w:r>
              <w:rPr>
                <w:rFonts w:hint="eastAsia" w:ascii="华文仿宋" w:hAnsi="华文仿宋" w:eastAsia="华文仿宋" w:cs="华文仿宋"/>
                <w:b/>
                <w:bCs/>
                <w:color w:val="auto"/>
                <w:kern w:val="0"/>
                <w:sz w:val="24"/>
                <w:szCs w:val="24"/>
                <w:highlight w:val="none"/>
              </w:rPr>
              <w:t>年</w:t>
            </w:r>
            <w:r>
              <w:rPr>
                <w:rFonts w:hint="eastAsia" w:ascii="华文仿宋" w:hAnsi="华文仿宋" w:eastAsia="华文仿宋" w:cs="华文仿宋"/>
                <w:b/>
                <w:bCs/>
                <w:color w:val="auto"/>
                <w:kern w:val="0"/>
                <w:sz w:val="24"/>
                <w:szCs w:val="24"/>
                <w:highlight w:val="none"/>
                <w:lang w:val="en-US" w:eastAsia="zh-CN"/>
              </w:rPr>
              <w:t>06</w:t>
            </w:r>
            <w:r>
              <w:rPr>
                <w:rFonts w:hint="eastAsia" w:ascii="华文仿宋" w:hAnsi="华文仿宋" w:eastAsia="华文仿宋" w:cs="华文仿宋"/>
                <w:b/>
                <w:bCs/>
                <w:color w:val="auto"/>
                <w:kern w:val="0"/>
                <w:sz w:val="24"/>
                <w:szCs w:val="24"/>
                <w:highlight w:val="none"/>
              </w:rPr>
              <w:t>月</w:t>
            </w:r>
            <w:r>
              <w:rPr>
                <w:rFonts w:hint="eastAsia" w:ascii="华文仿宋" w:hAnsi="华文仿宋" w:eastAsia="华文仿宋" w:cs="华文仿宋"/>
                <w:b/>
                <w:bCs/>
                <w:color w:val="auto"/>
                <w:kern w:val="0"/>
                <w:sz w:val="24"/>
                <w:szCs w:val="24"/>
                <w:highlight w:val="none"/>
                <w:lang w:val="en-US" w:eastAsia="zh-CN"/>
              </w:rPr>
              <w:t>21</w:t>
            </w:r>
            <w:r>
              <w:rPr>
                <w:rFonts w:hint="eastAsia" w:ascii="华文仿宋" w:hAnsi="华文仿宋" w:eastAsia="华文仿宋" w:cs="华文仿宋"/>
                <w:b/>
                <w:bCs/>
                <w:color w:val="auto"/>
                <w:kern w:val="0"/>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产品购买</w:t>
            </w:r>
          </w:p>
        </w:tc>
        <w:tc>
          <w:tcPr>
            <w:tcW w:w="8048" w:type="dxa"/>
            <w:vAlign w:val="center"/>
          </w:tcPr>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1.客户可以在募集期进行认购/认购追加、认购撤单。</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募集期产品单位净值为1元，购买份额=购买金额除以1元。</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2.存续期购买</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客户可以在产品申购开放日提交申购/追加申购申请</w:t>
            </w:r>
          </w:p>
          <w:p>
            <w:pPr>
              <w:widowControl/>
              <w:spacing w:line="300" w:lineRule="exact"/>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申购遵循“未知价”原则，即申购/追加申购价格以产品</w:t>
            </w:r>
            <w:r>
              <w:rPr>
                <w:rFonts w:hint="eastAsia" w:ascii="华文仿宋" w:hAnsi="华文仿宋" w:eastAsia="华文仿宋" w:cs="华文仿宋"/>
                <w:color w:val="auto"/>
                <w:kern w:val="0"/>
                <w:sz w:val="24"/>
                <w:szCs w:val="24"/>
                <w:highlight w:val="none"/>
                <w:lang w:val="en-US" w:eastAsia="zh-CN"/>
              </w:rPr>
              <w:t>当前开放日最后一日的单位净值为</w:t>
            </w:r>
            <w:r>
              <w:rPr>
                <w:rFonts w:hint="eastAsia" w:ascii="华文仿宋" w:hAnsi="华文仿宋" w:eastAsia="华文仿宋" w:cs="华文仿宋"/>
                <w:color w:val="auto"/>
                <w:kern w:val="0"/>
                <w:sz w:val="24"/>
                <w:szCs w:val="24"/>
                <w:highlight w:val="none"/>
              </w:rPr>
              <w:t>基准进行计算，如</w:t>
            </w:r>
            <w:r>
              <w:rPr>
                <w:rFonts w:hint="eastAsia" w:ascii="华文仿宋" w:hAnsi="华文仿宋" w:eastAsia="华文仿宋" w:cs="华文仿宋"/>
                <w:color w:val="auto"/>
                <w:kern w:val="0"/>
                <w:sz w:val="24"/>
                <w:szCs w:val="24"/>
                <w:highlight w:val="none"/>
                <w:lang w:val="en-US" w:eastAsia="zh-CN"/>
              </w:rPr>
              <w:t>最后一日</w:t>
            </w:r>
            <w:r>
              <w:rPr>
                <w:rFonts w:hint="eastAsia" w:ascii="华文仿宋" w:hAnsi="华文仿宋" w:eastAsia="华文仿宋" w:cs="华文仿宋"/>
                <w:color w:val="auto"/>
                <w:kern w:val="0"/>
                <w:sz w:val="24"/>
                <w:szCs w:val="24"/>
                <w:highlight w:val="none"/>
              </w:rPr>
              <w:t>为非工作日，则</w:t>
            </w:r>
            <w:r>
              <w:rPr>
                <w:rFonts w:hint="eastAsia" w:ascii="华文仿宋" w:hAnsi="华文仿宋" w:eastAsia="华文仿宋" w:cs="华文仿宋"/>
                <w:color w:val="auto"/>
                <w:kern w:val="0"/>
                <w:sz w:val="24"/>
                <w:szCs w:val="24"/>
                <w:highlight w:val="none"/>
                <w:lang w:val="en-US" w:eastAsia="zh-CN"/>
              </w:rPr>
              <w:t>顺延至下一个工作日，</w:t>
            </w:r>
            <w:r>
              <w:rPr>
                <w:rFonts w:hint="eastAsia" w:ascii="华文仿宋" w:hAnsi="华文仿宋" w:eastAsia="华文仿宋" w:cs="华文仿宋"/>
                <w:color w:val="auto"/>
                <w:kern w:val="0"/>
                <w:sz w:val="24"/>
                <w:szCs w:val="24"/>
                <w:highlight w:val="none"/>
              </w:rPr>
              <w:t>产品管理人在申购日后下一个周期</w:t>
            </w:r>
            <w:r>
              <w:rPr>
                <w:rFonts w:hint="eastAsia" w:ascii="华文仿宋" w:hAnsi="华文仿宋" w:eastAsia="华文仿宋" w:cs="华文仿宋"/>
                <w:color w:val="auto"/>
                <w:kern w:val="0"/>
                <w:sz w:val="24"/>
                <w:szCs w:val="24"/>
                <w:highlight w:val="none"/>
                <w:lang w:val="en-US" w:eastAsia="zh-CN"/>
              </w:rPr>
              <w:t>开始</w:t>
            </w:r>
            <w:r>
              <w:rPr>
                <w:rFonts w:hint="eastAsia" w:ascii="华文仿宋" w:hAnsi="华文仿宋" w:eastAsia="华文仿宋" w:cs="华文仿宋"/>
                <w:color w:val="auto"/>
                <w:kern w:val="0"/>
                <w:sz w:val="24"/>
                <w:szCs w:val="24"/>
                <w:highlight w:val="none"/>
              </w:rPr>
              <w:t>日对该交易的有效性进行确认。</w:t>
            </w:r>
          </w:p>
          <w:p>
            <w:pPr>
              <w:widowControl/>
              <w:spacing w:line="300" w:lineRule="exact"/>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申购份额=申购金额除以产品单位净值</w:t>
            </w:r>
          </w:p>
          <w:p>
            <w:pPr>
              <w:widowControl/>
              <w:spacing w:line="300" w:lineRule="exact"/>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客户多笔申购本产品时，按照上述公式逐笔计算申购份额后加总。</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3.撤单交易</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认购期内提交的认购申请，</w:t>
            </w:r>
            <w:r>
              <w:rPr>
                <w:rFonts w:hint="eastAsia" w:ascii="华文仿宋" w:hAnsi="华文仿宋" w:eastAsia="华文仿宋" w:cs="华文仿宋"/>
                <w:color w:val="auto"/>
                <w:kern w:val="0"/>
                <w:sz w:val="24"/>
                <w:szCs w:val="24"/>
                <w:highlight w:val="none"/>
                <w:lang w:val="en-US" w:eastAsia="zh-CN"/>
              </w:rPr>
              <w:t>可在产品募集期内撤单，申购/赎回撤单可在产品开放日当天18：00之前进行撤单，</w:t>
            </w:r>
            <w:r>
              <w:rPr>
                <w:rFonts w:hint="eastAsia" w:ascii="华文仿宋" w:hAnsi="华文仿宋" w:eastAsia="华文仿宋" w:cs="华文仿宋"/>
                <w:color w:val="auto"/>
                <w:kern w:val="0"/>
                <w:sz w:val="24"/>
                <w:szCs w:val="24"/>
                <w:highlight w:val="none"/>
              </w:rPr>
              <w:t>撤单后客户认购/申购资金即时解冻。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赎回及兑付</w:t>
            </w:r>
          </w:p>
        </w:tc>
        <w:tc>
          <w:tcPr>
            <w:tcW w:w="8048" w:type="dxa"/>
            <w:vAlign w:val="center"/>
          </w:tcPr>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1.持有本产品的客户可在开放期提出赎回申请，若客户未赎回全部份额，剩余份额所对应本金自动进入下一封闭期参与投资。</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2.客户资金兑付遵循“未知价”原则，</w:t>
            </w:r>
            <w:r>
              <w:rPr>
                <w:rFonts w:hint="eastAsia" w:ascii="华文仿宋" w:hAnsi="华文仿宋" w:eastAsia="华文仿宋" w:cs="华文仿宋"/>
                <w:color w:val="auto"/>
                <w:kern w:val="0"/>
                <w:sz w:val="24"/>
                <w:szCs w:val="24"/>
                <w:highlight w:val="none"/>
                <w:lang w:val="en-US" w:eastAsia="zh-CN"/>
              </w:rPr>
              <w:t>兑付资金以开放日最后一日的单位净值为基准进行计算，若开放日最后一日为非工作日，则顺延至下一个工作日。</w:t>
            </w:r>
            <w:r>
              <w:rPr>
                <w:rFonts w:hint="eastAsia" w:ascii="华文仿宋" w:hAnsi="华文仿宋" w:eastAsia="华文仿宋" w:cs="华文仿宋"/>
                <w:color w:val="auto"/>
                <w:kern w:val="0"/>
                <w:sz w:val="24"/>
                <w:szCs w:val="24"/>
                <w:highlight w:val="none"/>
              </w:rPr>
              <w:t>到期金额=到期份额乘以产品单位净值</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color w:val="auto"/>
                <w:kern w:val="0"/>
                <w:sz w:val="24"/>
                <w:szCs w:val="24"/>
                <w:highlight w:val="none"/>
              </w:rPr>
              <w:t>3.兑付日是客户理财资金到账日，产品管理人于</w:t>
            </w:r>
            <w:r>
              <w:rPr>
                <w:rFonts w:hint="eastAsia" w:ascii="华文仿宋" w:hAnsi="华文仿宋" w:eastAsia="华文仿宋" w:cs="华文仿宋"/>
                <w:color w:val="auto"/>
                <w:kern w:val="0"/>
                <w:sz w:val="24"/>
                <w:szCs w:val="24"/>
                <w:highlight w:val="none"/>
                <w:lang w:val="en-US" w:eastAsia="zh-CN"/>
              </w:rPr>
              <w:t>下一周期开始日兑付到期资金，</w:t>
            </w:r>
            <w:r>
              <w:rPr>
                <w:rFonts w:hint="eastAsia" w:ascii="华文仿宋" w:hAnsi="华文仿宋" w:eastAsia="华文仿宋" w:cs="华文仿宋"/>
                <w:color w:val="auto"/>
                <w:kern w:val="0"/>
                <w:sz w:val="24"/>
                <w:szCs w:val="24"/>
                <w:highlight w:val="none"/>
              </w:rPr>
              <w:t>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网址：www.xjbank.com）、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本产品业绩比较基准为</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理财产品费用包含销售管理费、产品托管费、固定管理费、浮动管理费以及按照国家规定可以列入的其他费用。</w:t>
            </w:r>
          </w:p>
          <w:p>
            <w:pPr>
              <w:widowControl/>
              <w:spacing w:line="300" w:lineRule="exact"/>
              <w:ind w:firstLine="480" w:firstLineChars="200"/>
              <w:jc w:val="left"/>
              <w:rPr>
                <w:rFonts w:hint="eastAsia" w:ascii="华文仿宋" w:hAnsi="华文仿宋" w:eastAsia="华文仿宋" w:cs="华文仿宋"/>
                <w:b/>
                <w:bCs/>
                <w:kern w:val="0"/>
                <w:sz w:val="24"/>
                <w:szCs w:val="24"/>
                <w:lang w:eastAsia="zh-CN"/>
              </w:rPr>
            </w:pPr>
            <w:r>
              <w:rPr>
                <w:rFonts w:hint="eastAsia" w:ascii="华文仿宋" w:hAnsi="华文仿宋" w:eastAsia="华文仿宋" w:cs="华文仿宋"/>
                <w:b/>
                <w:bCs/>
                <w:kern w:val="0"/>
                <w:sz w:val="24"/>
                <w:szCs w:val="24"/>
              </w:rPr>
              <w:t>1</w:t>
            </w:r>
            <w:r>
              <w:rPr>
                <w:rFonts w:hint="eastAsia" w:ascii="华文仿宋" w:hAnsi="华文仿宋" w:eastAsia="华文仿宋" w:cs="华文仿宋"/>
                <w:b/>
                <w:bCs/>
                <w:kern w:val="0"/>
                <w:sz w:val="24"/>
                <w:szCs w:val="24"/>
                <w:highlight w:val="none"/>
              </w:rPr>
              <w:t>.本产品的销售管理费</w:t>
            </w:r>
            <w:r>
              <w:rPr>
                <w:rFonts w:hint="eastAsia" w:ascii="华文仿宋" w:hAnsi="华文仿宋" w:eastAsia="华文仿宋" w:cs="华文仿宋"/>
                <w:b/>
                <w:bCs/>
                <w:kern w:val="0"/>
                <w:sz w:val="24"/>
                <w:szCs w:val="24"/>
                <w:highlight w:val="none"/>
                <w:lang w:val="en-US" w:eastAsia="zh-CN"/>
              </w:rPr>
              <w:t>0</w:t>
            </w:r>
            <w:r>
              <w:rPr>
                <w:rFonts w:hint="eastAsia" w:ascii="华文仿宋" w:hAnsi="华文仿宋" w:eastAsia="华文仿宋" w:cs="华文仿宋"/>
                <w:b/>
                <w:bCs/>
                <w:kern w:val="0"/>
                <w:sz w:val="24"/>
                <w:szCs w:val="24"/>
                <w:highlight w:val="none"/>
              </w:rPr>
              <w:t>、固定管理费</w:t>
            </w:r>
            <w:r>
              <w:rPr>
                <w:rFonts w:hint="eastAsia" w:ascii="华文仿宋" w:hAnsi="华文仿宋" w:eastAsia="华文仿宋" w:cs="华文仿宋"/>
                <w:b/>
                <w:bCs/>
                <w:kern w:val="0"/>
                <w:sz w:val="24"/>
                <w:szCs w:val="24"/>
                <w:highlight w:val="none"/>
                <w:lang w:val="en-US" w:eastAsia="zh-CN"/>
              </w:rPr>
              <w:t>0.4</w:t>
            </w:r>
            <w:r>
              <w:rPr>
                <w:rFonts w:hint="eastAsia" w:ascii="华文仿宋" w:hAnsi="华文仿宋" w:eastAsia="华文仿宋" w:cs="华文仿宋"/>
                <w:b/>
                <w:bCs/>
                <w:kern w:val="0"/>
                <w:sz w:val="24"/>
                <w:szCs w:val="24"/>
                <w:highlight w:val="none"/>
              </w:rPr>
              <w:t>%/年,产品托管费</w:t>
            </w:r>
            <w:r>
              <w:rPr>
                <w:rFonts w:hint="eastAsia" w:ascii="华文仿宋" w:hAnsi="华文仿宋" w:eastAsia="华文仿宋" w:cs="华文仿宋"/>
                <w:b/>
                <w:bCs/>
                <w:kern w:val="0"/>
                <w:sz w:val="24"/>
                <w:szCs w:val="24"/>
                <w:highlight w:val="none"/>
                <w:lang w:val="en-US" w:eastAsia="zh-CN"/>
              </w:rPr>
              <w:t>0.01</w:t>
            </w:r>
            <w:r>
              <w:rPr>
                <w:rFonts w:hint="eastAsia" w:ascii="华文仿宋" w:hAnsi="华文仿宋" w:eastAsia="华文仿宋" w:cs="华文仿宋"/>
                <w:b/>
                <w:bCs/>
                <w:kern w:val="0"/>
                <w:sz w:val="24"/>
                <w:szCs w:val="24"/>
                <w:highlight w:val="none"/>
              </w:rPr>
              <w:t>%/年</w:t>
            </w:r>
            <w:r>
              <w:rPr>
                <w:rFonts w:hint="eastAsia" w:ascii="华文仿宋" w:hAnsi="华文仿宋" w:eastAsia="华文仿宋" w:cs="华文仿宋"/>
                <w:b/>
                <w:bCs/>
                <w:kern w:val="0"/>
                <w:sz w:val="24"/>
                <w:szCs w:val="24"/>
                <w:highlight w:val="none"/>
                <w:lang w:eastAsia="zh-CN"/>
              </w:rPr>
              <w:t>。</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2.浮动管理费收取，在本产品到期日或提前终止日，剔除销售管理费、托管费、固定管理费以及产品应承担的增值税及其附加等相关税费后，投资收益超过业绩比较基准</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%的部分，管理人可按照</w:t>
            </w:r>
            <w:r>
              <w:rPr>
                <w:rFonts w:hint="eastAsia" w:ascii="华文仿宋" w:hAnsi="华文仿宋" w:eastAsia="华文仿宋" w:cs="华文仿宋"/>
                <w:b/>
                <w:bCs/>
                <w:kern w:val="0"/>
                <w:sz w:val="24"/>
                <w:szCs w:val="24"/>
                <w:lang w:val="en-US" w:eastAsia="zh-CN"/>
              </w:rPr>
              <w:t>90</w:t>
            </w:r>
            <w:r>
              <w:rPr>
                <w:rFonts w:hint="eastAsia" w:ascii="华文仿宋" w:hAnsi="华文仿宋" w:eastAsia="华文仿宋" w:cs="华文仿宋"/>
                <w:b/>
                <w:bCs/>
                <w:kern w:val="0"/>
                <w:sz w:val="24"/>
                <w:szCs w:val="24"/>
              </w:rPr>
              <w:t>%的比例提取浮动管理费。如低于业绩比较基准</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%(含)，不收取浮动管理费。</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3.本产品运作和清算中产生的其他资金汇划费、结算费、交易手续费、注册登记费、信息披露费、账户服务费、审计费和律师费等，按照实际发生时从产品中列支。</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highlight w:val="none"/>
              </w:rPr>
              <w:t>4.</w:t>
            </w:r>
            <w:r>
              <w:rPr>
                <w:rFonts w:hint="eastAsia" w:ascii="华文仿宋" w:hAnsi="华文仿宋" w:eastAsia="华文仿宋" w:cs="华文仿宋"/>
                <w:b/>
                <w:bCs/>
                <w:kern w:val="0"/>
                <w:sz w:val="24"/>
                <w:szCs w:val="24"/>
                <w:highlight w:val="none"/>
                <w:lang w:val="en-US" w:eastAsia="zh-CN"/>
              </w:rPr>
              <w:t>上述费用在计算客户产品单位净值前扣除，费用计提按照产品上日总净值，计息基础为实际天数/365，按日计提，定期分配</w:t>
            </w:r>
            <w:r>
              <w:rPr>
                <w:rFonts w:hint="eastAsia" w:ascii="华文仿宋" w:hAnsi="华文仿宋" w:eastAsia="华文仿宋" w:cs="华文仿宋"/>
                <w:b/>
                <w:bCs/>
                <w:kern w:val="0"/>
                <w:sz w:val="24"/>
                <w:szCs w:val="24"/>
                <w:lang w:val="en-US" w:eastAsia="zh-CN"/>
              </w:rPr>
              <w:t>，</w:t>
            </w:r>
            <w:r>
              <w:rPr>
                <w:rFonts w:hint="eastAsia" w:ascii="华文仿宋" w:hAnsi="华文仿宋" w:eastAsia="华文仿宋" w:cs="华文仿宋"/>
                <w:b/>
                <w:bCs/>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1.本理财产品不对投资者提供提前终止权，新疆银行有权在提前终止日行使提前终止权，终止此产品。</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2.产品存续期内，如出现《协议》约定的情况，新疆银行有权但无义务提前终止本理财产品。</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投资人同意通过新疆银行官方网（www.xjbank.com）、新疆银行官方微信或相关营业网点及时了解相关信息公告。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widowControl/>
        <w:spacing w:line="300" w:lineRule="exact"/>
        <w:ind w:firstLine="480" w:firstLineChars="200"/>
        <w:jc w:val="left"/>
        <w:rPr>
          <w:rFonts w:ascii="华文仿宋" w:hAnsi="华文仿宋" w:eastAsia="华文仿宋" w:cs="华文仿宋"/>
          <w:sz w:val="24"/>
          <w:szCs w:val="24"/>
        </w:rPr>
      </w:pPr>
      <w:r>
        <w:rPr>
          <w:rStyle w:val="11"/>
          <w:rFonts w:hint="eastAsia" w:ascii="华文仿宋" w:hAnsi="华文仿宋" w:eastAsia="华文仿宋" w:cs="华文仿宋"/>
          <w:kern w:val="0"/>
          <w:sz w:val="24"/>
          <w:szCs w:val="24"/>
        </w:rPr>
        <w:t>二、投资范围</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9"/>
        <w:widowControl/>
        <w:numPr>
          <w:ilvl w:val="0"/>
          <w:numId w:val="1"/>
        </w:numPr>
        <w:spacing w:line="30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9"/>
        <w:widowControl/>
        <w:numPr>
          <w:ilvl w:val="0"/>
          <w:numId w:val="1"/>
        </w:numPr>
        <w:spacing w:line="30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val="en-US" w:eastAsia="zh-CN"/>
        </w:rPr>
        <w:t xml:space="preserve">   </w:t>
      </w:r>
      <w:r>
        <w:rPr>
          <w:rFonts w:hint="eastAsia" w:ascii="华文仿宋" w:hAnsi="华文仿宋" w:eastAsia="华文仿宋" w:cs="华文仿宋"/>
          <w:b/>
          <w:bCs/>
          <w:kern w:val="0"/>
          <w:sz w:val="24"/>
          <w:szCs w:val="24"/>
        </w:rPr>
        <w:t>产品单位净值及份额的计算</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rPr>
        <w:t>产品资产净值是指理财产品资产总额减去负债总额后的价值。</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本理财产品单位净值=理财产品总资产净值/理财产品总份额，理财产品单位净值小数点六位后四舍五入。</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lang w:val="en-US" w:eastAsia="zh-CN"/>
        </w:rPr>
        <w:t>募集期产品单位净值为1元，购买份额=购买金额/1元。</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份额=</w:t>
      </w: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金额/</w:t>
      </w:r>
      <w:r>
        <w:rPr>
          <w:rFonts w:hint="eastAsia" w:ascii="华文仿宋" w:hAnsi="华文仿宋" w:eastAsia="华文仿宋" w:cs="华文仿宋"/>
          <w:b/>
          <w:bCs/>
          <w:kern w:val="0"/>
          <w:sz w:val="24"/>
          <w:szCs w:val="24"/>
          <w:highlight w:val="none"/>
          <w:lang w:val="en-US" w:eastAsia="zh-CN"/>
        </w:rPr>
        <w:t>产品单位净值</w:t>
      </w:r>
      <w:r>
        <w:rPr>
          <w:rFonts w:hint="eastAsia" w:ascii="华文仿宋" w:hAnsi="华文仿宋" w:eastAsia="华文仿宋" w:cs="华文仿宋"/>
          <w:b/>
          <w:bCs/>
          <w:kern w:val="0"/>
          <w:sz w:val="24"/>
          <w:szCs w:val="24"/>
        </w:rPr>
        <w:t>，</w:t>
      </w:r>
      <w:r>
        <w:rPr>
          <w:rFonts w:hint="eastAsia" w:ascii="华文仿宋" w:hAnsi="华文仿宋" w:eastAsia="华文仿宋" w:cs="华文仿宋"/>
          <w:b/>
          <w:bCs/>
          <w:kern w:val="0"/>
          <w:sz w:val="24"/>
          <w:szCs w:val="24"/>
          <w:lang w:val="en-US" w:eastAsia="zh-CN"/>
        </w:rPr>
        <w:t>申购</w:t>
      </w:r>
      <w:r>
        <w:rPr>
          <w:rFonts w:hint="eastAsia" w:ascii="华文仿宋" w:hAnsi="华文仿宋" w:eastAsia="华文仿宋" w:cs="华文仿宋"/>
          <w:b/>
          <w:bCs/>
          <w:kern w:val="0"/>
          <w:sz w:val="24"/>
          <w:szCs w:val="24"/>
        </w:rPr>
        <w:t>份额保留至0.01份理财产品份额，小数点两位后四舍五入。</w:t>
      </w:r>
    </w:p>
    <w:p>
      <w:pPr>
        <w:widowControl/>
        <w:numPr>
          <w:ilvl w:val="0"/>
          <w:numId w:val="2"/>
        </w:numPr>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资产类别</w:t>
            </w:r>
          </w:p>
        </w:tc>
        <w:tc>
          <w:tcPr>
            <w:tcW w:w="3405"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具体资产</w:t>
            </w:r>
          </w:p>
        </w:tc>
        <w:tc>
          <w:tcPr>
            <w:tcW w:w="4808"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估值方法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2.国家有最新规定的，按其规定进行估值。</w:t>
      </w:r>
    </w:p>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widowControl/>
        <w:spacing w:line="300" w:lineRule="exact"/>
        <w:jc w:val="left"/>
        <w:rPr>
          <w:rFonts w:ascii="华文仿宋" w:hAnsi="华文仿宋" w:eastAsia="华文仿宋"/>
          <w:b/>
          <w:kern w:val="0"/>
          <w:sz w:val="24"/>
          <w:szCs w:val="24"/>
        </w:rPr>
      </w:pPr>
      <w:r>
        <w:rPr>
          <w:rStyle w:val="11"/>
          <w:rFonts w:hint="eastAsia" w:cs="华文仿宋"/>
          <w:b w:val="0"/>
          <w:bCs w:val="0"/>
        </w:rPr>
        <w:t xml:space="preserve">  </w:t>
      </w:r>
      <w:r>
        <w:rPr>
          <w:rFonts w:hint="eastAsia" w:ascii="华文仿宋" w:hAnsi="华文仿宋" w:eastAsia="华文仿宋"/>
          <w:b/>
          <w:kern w:val="0"/>
          <w:sz w:val="24"/>
          <w:szCs w:val="24"/>
        </w:rPr>
        <w:t xml:space="preserve"> （四）暂停估值</w:t>
      </w:r>
    </w:p>
    <w:p>
      <w:pPr>
        <w:widowControl/>
        <w:spacing w:line="300" w:lineRule="exact"/>
        <w:ind w:firstLine="422" w:firstLineChars="200"/>
        <w:jc w:val="left"/>
        <w:rPr>
          <w:rFonts w:ascii="华文仿宋" w:hAnsi="华文仿宋" w:eastAsia="华文仿宋"/>
          <w:kern w:val="0"/>
          <w:sz w:val="24"/>
          <w:szCs w:val="24"/>
        </w:rPr>
      </w:pPr>
      <w:r>
        <w:rPr>
          <w:rStyle w:val="11"/>
          <w:rFonts w:hint="eastAsia" w:cs="华文仿宋"/>
        </w:rPr>
        <w:t xml:space="preserve">    </w:t>
      </w:r>
      <w:r>
        <w:rPr>
          <w:rFonts w:hint="eastAsia" w:ascii="华文仿宋" w:hAnsi="华文仿宋" w:eastAsia="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widowControl/>
        <w:spacing w:line="300" w:lineRule="exact"/>
        <w:ind w:firstLine="360" w:firstLineChars="150"/>
        <w:jc w:val="left"/>
        <w:rPr>
          <w:rFonts w:ascii="华文仿宋" w:hAnsi="华文仿宋" w:eastAsia="华文仿宋"/>
          <w:b/>
          <w:sz w:val="24"/>
          <w:szCs w:val="24"/>
        </w:rPr>
      </w:pPr>
      <w:r>
        <w:rPr>
          <w:rFonts w:hint="eastAsia" w:ascii="华文仿宋" w:hAnsi="华文仿宋" w:eastAsia="华文仿宋"/>
          <w:b/>
          <w:sz w:val="24"/>
          <w:szCs w:val="24"/>
        </w:rPr>
        <w:t>五、理财产品费用及收益</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1.声明</w:t>
      </w:r>
      <w:r>
        <w:rPr>
          <w:rFonts w:ascii="华文仿宋" w:hAnsi="华文仿宋" w:eastAsia="华文仿宋"/>
          <w:bCs/>
          <w:sz w:val="24"/>
          <w:szCs w:val="24"/>
        </w:rPr>
        <w:br w:type="textWrapping"/>
      </w:r>
      <w:r>
        <w:rPr>
          <w:rFonts w:hint="eastAsia" w:ascii="华文仿宋" w:hAnsi="华文仿宋" w:eastAsia="华文仿宋"/>
          <w:bCs/>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xml:space="preserve">    2.收益测算方法及测算依据</w:t>
      </w:r>
      <w:r>
        <w:rPr>
          <w:rFonts w:ascii="华文仿宋" w:hAnsi="华文仿宋" w:eastAsia="华文仿宋"/>
          <w:bCs/>
          <w:sz w:val="24"/>
          <w:szCs w:val="24"/>
        </w:rPr>
        <w:br w:type="textWrapping"/>
      </w:r>
      <w:r>
        <w:rPr>
          <w:rFonts w:hint="eastAsia" w:ascii="华文仿宋" w:hAnsi="华文仿宋" w:eastAsia="华文仿宋"/>
          <w:bCs/>
          <w:sz w:val="24"/>
          <w:szCs w:val="24"/>
        </w:rPr>
        <w:t>（</w:t>
      </w:r>
      <w:r>
        <w:rPr>
          <w:rFonts w:hint="eastAsia" w:ascii="华文仿宋" w:hAnsi="华文仿宋" w:eastAsia="华文仿宋"/>
          <w:kern w:val="0"/>
          <w:sz w:val="24"/>
          <w:szCs w:val="24"/>
        </w:rPr>
        <w:t>以产品业绩比较基准 4.85%，期限 368 天,浮动管理费收取 80%为例）</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情景一：</w:t>
      </w:r>
      <w:r>
        <w:rPr>
          <w:rFonts w:hint="eastAsia" w:ascii="华文仿宋" w:hAnsi="华文仿宋" w:eastAsia="华文仿宋"/>
          <w:kern w:val="0"/>
          <w:sz w:val="24"/>
          <w:szCs w:val="24"/>
        </w:rPr>
        <w:t>扣除认购费、销售管理费、托管费、固定管理费后，收益率超过业绩比较基准。</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浮动管理费为：</w:t>
      </w:r>
    </w:p>
    <w:p>
      <w:pPr>
        <w:widowControl/>
        <w:spacing w:line="300" w:lineRule="exact"/>
        <w:ind w:firstLine="480" w:firstLineChars="200"/>
        <w:jc w:val="left"/>
        <w:rPr>
          <w:bCs/>
        </w:rPr>
      </w:pPr>
      <w:r>
        <w:rPr>
          <w:rFonts w:hint="eastAsia" w:ascii="华文仿宋" w:hAnsi="华文仿宋" w:eastAsia="华文仿宋"/>
          <w:kern w:val="0"/>
          <w:sz w:val="24"/>
          <w:szCs w:val="24"/>
        </w:rPr>
        <w:t>100,000.00×[1.051-1.00×(1+4.85%×368/365)]×80%=168.11(元)</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扣除浮动管理费后，客户最终收益为：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 1.051-1.00） - 168.11= 4,931.89（元），产品到期时，客户获得的实际收益相当于达到年化收益率水平为： 4,931.89/100,000.00×365/368 =4.89%。</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情景二：</w:t>
      </w:r>
      <w:r>
        <w:rPr>
          <w:rFonts w:hint="eastAsia" w:ascii="华文仿宋" w:hAnsi="华文仿宋" w:eastAsia="华文仿宋"/>
          <w:kern w:val="0"/>
          <w:sz w:val="24"/>
          <w:szCs w:val="24"/>
        </w:rPr>
        <w:t>扣除销售管理费、托管费、固定管理费后，投资收益未达到业绩比较基准。</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100,000.00×(1.0476-1.00） = 4,760.00（元）</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情景三：</w:t>
      </w:r>
      <w:r>
        <w:rPr>
          <w:rFonts w:ascii="华文仿宋" w:hAnsi="华文仿宋" w:eastAsia="华文仿宋"/>
          <w:bCs/>
          <w:kern w:val="0"/>
          <w:sz w:val="24"/>
          <w:szCs w:val="24"/>
        </w:rPr>
        <w:t>最不利情况，扣销售管理费、托管费、固定管理费后，投资发生亏损。</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100,000.00×（ 0.99-1.00） = -1000（元）</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（测算收益不等于实际收益，投资须谨慎）</w:t>
      </w:r>
    </w:p>
    <w:p>
      <w:pPr>
        <w:widowControl/>
        <w:spacing w:line="300" w:lineRule="exact"/>
        <w:ind w:firstLine="480" w:firstLineChars="200"/>
        <w:jc w:val="left"/>
        <w:rPr>
          <w:rFonts w:ascii="华文仿宋" w:hAnsi="华文仿宋" w:eastAsia="华文仿宋"/>
          <w:bCs/>
          <w:sz w:val="24"/>
          <w:szCs w:val="24"/>
        </w:rPr>
      </w:pPr>
      <w:r>
        <w:rPr>
          <w:rFonts w:hint="eastAsia" w:ascii="华文仿宋" w:hAnsi="华文仿宋" w:eastAsia="华文仿宋"/>
          <w:b/>
          <w:sz w:val="24"/>
          <w:szCs w:val="24"/>
        </w:rPr>
        <w:t>六、产品提前终止</w:t>
      </w:r>
      <w:r>
        <w:rPr>
          <w:rFonts w:hint="eastAsia"/>
          <w:bCs/>
        </w:rPr>
        <w:t xml:space="preserve"> </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sz w:val="24"/>
          <w:szCs w:val="24"/>
        </w:rPr>
        <w:t>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七、信息披露</w:t>
      </w:r>
    </w:p>
    <w:p>
      <w:pPr>
        <w:widowControl/>
        <w:spacing w:line="300" w:lineRule="exact"/>
        <w:ind w:firstLine="480" w:firstLineChars="200"/>
        <w:jc w:val="left"/>
        <w:rPr>
          <w:rFonts w:ascii="华文仿宋" w:hAnsi="华文仿宋" w:eastAsia="华文仿宋"/>
          <w:kern w:val="0"/>
          <w:sz w:val="24"/>
          <w:szCs w:val="24"/>
        </w:rPr>
      </w:pPr>
      <w:r>
        <w:rPr>
          <w:rFonts w:ascii="华文仿宋" w:hAnsi="华文仿宋" w:eastAsia="华文仿宋"/>
          <w:kern w:val="0"/>
          <w:sz w:val="24"/>
          <w:szCs w:val="24"/>
        </w:rPr>
        <w:t>新疆银行通过新疆银行官方网站（</w:t>
      </w:r>
      <w:r>
        <w:rPr>
          <w:rFonts w:hint="eastAsia" w:ascii="华文仿宋" w:hAnsi="华文仿宋" w:eastAsia="华文仿宋"/>
          <w:kern w:val="0"/>
          <w:sz w:val="24"/>
          <w:szCs w:val="24"/>
        </w:rPr>
        <w:t>www.xjbank.com）、官方微信或银行认为适当的其他方式、地点披露产品以下相关信息：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1.在产品正常成立、产品终止的5个工作日内发布产品成立、产品终止信息，发生对产品重大影响之情形后的2个工作日内发布重大影响事件等信息；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2.在本产品存续期内，每周三公布前一个工作日产品单位净值，遇中国法定节假日则顺延至下一个工作日；</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3.新疆银行将在每个季度结束之日起15日内、上半年结束之日起60日内、每年结束之日起90日内发布理财产品的季度、半年和年度报告等定期报告，向投资人披露投资状况、投资表现、风险状况等信息；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4.</w:t>
      </w:r>
      <w:r>
        <w:rPr>
          <w:rFonts w:hint="eastAsia" w:ascii="华文仿宋" w:hAnsi="华文仿宋" w:eastAsia="华文仿宋"/>
          <w:kern w:val="0"/>
          <w:sz w:val="24"/>
          <w:szCs w:val="24"/>
        </w:rPr>
        <w:t>新疆银行将在国家有关法律法规允许、理财协议约定的范围内进行投资运作。本产品如因市场变化、未达到或超过计划募集金额等因素，投资比例可在不影响产品风险评级的前提下合理浮动，若投资比例超出产品合理的浮动区间，我行将根据有关规定予以披露；</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kern w:val="0"/>
          <w:sz w:val="24"/>
          <w:szCs w:val="24"/>
        </w:rPr>
        <w:t>5.若发生理财产品不成立、变更募集期、提前终止、延期终止等情况，我行将按照法律法规及监管规范进行披露，</w:t>
      </w:r>
      <w:r>
        <w:rPr>
          <w:rFonts w:hint="eastAsia" w:ascii="华文仿宋" w:hAnsi="华文仿宋" w:eastAsia="华文仿宋"/>
          <w:b/>
          <w:sz w:val="24"/>
          <w:szCs w:val="24"/>
        </w:rPr>
        <w:t>该等披露，视为银行已向客户完全履行信息披露义务。客户承诺将及时接收、浏览和阅读该等信息；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300" w:lineRule="exact"/>
        <w:ind w:firstLine="420" w:firstLineChars="200"/>
        <w:jc w:val="left"/>
        <w:rPr>
          <w:bCs/>
        </w:rPr>
      </w:pPr>
    </w:p>
    <w:p>
      <w:pPr>
        <w:widowControl/>
        <w:spacing w:line="300" w:lineRule="exact"/>
        <w:ind w:firstLine="480" w:firstLineChars="200"/>
        <w:jc w:val="left"/>
        <w:rPr>
          <w:rStyle w:val="11"/>
          <w:rFonts w:ascii="华文仿宋" w:hAnsi="华文仿宋" w:eastAsia="华文仿宋" w:cs="华文仿宋"/>
          <w:kern w:val="0"/>
          <w:sz w:val="24"/>
          <w:szCs w:val="24"/>
        </w:rPr>
      </w:pPr>
    </w:p>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2 -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ind w:firstLine="6385" w:firstLineChars="2650"/>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lum bright="-10001" contrast="40000"/>
                  </a:blip>
                  <a:stretch>
                    <a:fillRect/>
                  </a:stretch>
                </pic:blipFill>
                <pic:spPr>
                  <a:xfrm>
                    <a:off x="0" y="0"/>
                    <a:ext cx="1857375" cy="361950"/>
                  </a:xfrm>
                  <a:prstGeom prst="rect">
                    <a:avLst/>
                  </a:prstGeom>
                  <a:noFill/>
                  <a:ln w="9525">
                    <a:noFill/>
                  </a:ln>
                </pic:spPr>
              </pic:pic>
            </a:graphicData>
          </a:graphic>
        </wp:anchor>
      </w:drawing>
    </w:r>
    <w:r>
      <w:rPr>
        <w:rStyle w:val="11"/>
        <w:rFonts w:hint="eastAsia" w:ascii="方正大黑简体" w:hAnsi="宋体" w:eastAsia="方正大黑简体" w:cs="宋体"/>
        <w:kern w:val="0"/>
        <w:sz w:val="24"/>
        <w:szCs w:val="24"/>
      </w:rPr>
      <w:t>定期开放净值型（固定收益类）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5F0C3"/>
    <w:multiLevelType w:val="singleLevel"/>
    <w:tmpl w:val="5C35F0C3"/>
    <w:lvl w:ilvl="0" w:tentative="0">
      <w:start w:val="3"/>
      <w:numFmt w:val="chineseCounting"/>
      <w:suff w:val="nothing"/>
      <w:lvlText w:val="%1、"/>
      <w:lvlJc w:val="left"/>
    </w:lvl>
  </w:abstractNum>
  <w:abstractNum w:abstractNumId="1">
    <w:nsid w:val="5C6F874A"/>
    <w:multiLevelType w:val="singleLevel"/>
    <w:tmpl w:val="5C6F874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0718"/>
    <w:rsid w:val="000054E7"/>
    <w:rsid w:val="000134A8"/>
    <w:rsid w:val="00017B1C"/>
    <w:rsid w:val="00027925"/>
    <w:rsid w:val="000329A2"/>
    <w:rsid w:val="00036F50"/>
    <w:rsid w:val="00056CA6"/>
    <w:rsid w:val="00057C51"/>
    <w:rsid w:val="000620AE"/>
    <w:rsid w:val="00065CD0"/>
    <w:rsid w:val="000710A1"/>
    <w:rsid w:val="000744A6"/>
    <w:rsid w:val="0008347F"/>
    <w:rsid w:val="000877B1"/>
    <w:rsid w:val="00093F4B"/>
    <w:rsid w:val="000A2333"/>
    <w:rsid w:val="000A6C1E"/>
    <w:rsid w:val="000B647E"/>
    <w:rsid w:val="000C341B"/>
    <w:rsid w:val="000D1591"/>
    <w:rsid w:val="000D2E2E"/>
    <w:rsid w:val="000D6D0B"/>
    <w:rsid w:val="000F1BB9"/>
    <w:rsid w:val="00102678"/>
    <w:rsid w:val="00103E2A"/>
    <w:rsid w:val="00104FB7"/>
    <w:rsid w:val="001057CE"/>
    <w:rsid w:val="00122767"/>
    <w:rsid w:val="00127654"/>
    <w:rsid w:val="00156091"/>
    <w:rsid w:val="00160D76"/>
    <w:rsid w:val="00160FA4"/>
    <w:rsid w:val="001832E7"/>
    <w:rsid w:val="001877B7"/>
    <w:rsid w:val="00192035"/>
    <w:rsid w:val="001B0A1B"/>
    <w:rsid w:val="001B2A32"/>
    <w:rsid w:val="001C38F5"/>
    <w:rsid w:val="001E35B6"/>
    <w:rsid w:val="0021700F"/>
    <w:rsid w:val="0023169C"/>
    <w:rsid w:val="00242CE0"/>
    <w:rsid w:val="00250CBC"/>
    <w:rsid w:val="002638B7"/>
    <w:rsid w:val="00265CED"/>
    <w:rsid w:val="00274D7C"/>
    <w:rsid w:val="0027667B"/>
    <w:rsid w:val="002766C7"/>
    <w:rsid w:val="002859F9"/>
    <w:rsid w:val="00291CAD"/>
    <w:rsid w:val="002A0F54"/>
    <w:rsid w:val="002B0232"/>
    <w:rsid w:val="002B4D56"/>
    <w:rsid w:val="002B5435"/>
    <w:rsid w:val="002B6B3F"/>
    <w:rsid w:val="002C1170"/>
    <w:rsid w:val="002C22E2"/>
    <w:rsid w:val="002C2537"/>
    <w:rsid w:val="002C2B19"/>
    <w:rsid w:val="002C667B"/>
    <w:rsid w:val="002E5D96"/>
    <w:rsid w:val="002F3128"/>
    <w:rsid w:val="003101B6"/>
    <w:rsid w:val="00321270"/>
    <w:rsid w:val="00322636"/>
    <w:rsid w:val="00330A04"/>
    <w:rsid w:val="0033226E"/>
    <w:rsid w:val="0034371F"/>
    <w:rsid w:val="00346991"/>
    <w:rsid w:val="003513C7"/>
    <w:rsid w:val="00353C48"/>
    <w:rsid w:val="00376ABC"/>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073A5"/>
    <w:rsid w:val="00414064"/>
    <w:rsid w:val="004143A3"/>
    <w:rsid w:val="00424BB0"/>
    <w:rsid w:val="004276A7"/>
    <w:rsid w:val="00441819"/>
    <w:rsid w:val="00461D59"/>
    <w:rsid w:val="004662BA"/>
    <w:rsid w:val="004736B8"/>
    <w:rsid w:val="00486467"/>
    <w:rsid w:val="00497028"/>
    <w:rsid w:val="004A082B"/>
    <w:rsid w:val="004A1F3E"/>
    <w:rsid w:val="004B125D"/>
    <w:rsid w:val="004B2740"/>
    <w:rsid w:val="004D168D"/>
    <w:rsid w:val="004E66BE"/>
    <w:rsid w:val="004F0EAF"/>
    <w:rsid w:val="00504907"/>
    <w:rsid w:val="005158C5"/>
    <w:rsid w:val="00534C9C"/>
    <w:rsid w:val="005415E4"/>
    <w:rsid w:val="005540D6"/>
    <w:rsid w:val="00562094"/>
    <w:rsid w:val="005658A4"/>
    <w:rsid w:val="00566784"/>
    <w:rsid w:val="00570E27"/>
    <w:rsid w:val="00574386"/>
    <w:rsid w:val="005843E9"/>
    <w:rsid w:val="00585705"/>
    <w:rsid w:val="0059236A"/>
    <w:rsid w:val="005D2FD5"/>
    <w:rsid w:val="005D55AE"/>
    <w:rsid w:val="005D57C6"/>
    <w:rsid w:val="005E1718"/>
    <w:rsid w:val="005E5ACC"/>
    <w:rsid w:val="005E7CEF"/>
    <w:rsid w:val="006059F9"/>
    <w:rsid w:val="006069D4"/>
    <w:rsid w:val="00617D13"/>
    <w:rsid w:val="00630EDA"/>
    <w:rsid w:val="00631673"/>
    <w:rsid w:val="00637CCE"/>
    <w:rsid w:val="0064054E"/>
    <w:rsid w:val="00651A82"/>
    <w:rsid w:val="00670887"/>
    <w:rsid w:val="00671D69"/>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3A96"/>
    <w:rsid w:val="007B49A9"/>
    <w:rsid w:val="007B66C0"/>
    <w:rsid w:val="007F3B3B"/>
    <w:rsid w:val="008023DF"/>
    <w:rsid w:val="00807297"/>
    <w:rsid w:val="0085786A"/>
    <w:rsid w:val="00862F53"/>
    <w:rsid w:val="00870AFF"/>
    <w:rsid w:val="0087275A"/>
    <w:rsid w:val="00872F0A"/>
    <w:rsid w:val="008824F8"/>
    <w:rsid w:val="00882E1A"/>
    <w:rsid w:val="008923AB"/>
    <w:rsid w:val="00893E3B"/>
    <w:rsid w:val="008B6711"/>
    <w:rsid w:val="008C4D5F"/>
    <w:rsid w:val="008E1779"/>
    <w:rsid w:val="008E1C01"/>
    <w:rsid w:val="008E4928"/>
    <w:rsid w:val="008F1D5B"/>
    <w:rsid w:val="00913562"/>
    <w:rsid w:val="00925C7F"/>
    <w:rsid w:val="00927E4F"/>
    <w:rsid w:val="00930A95"/>
    <w:rsid w:val="0093196E"/>
    <w:rsid w:val="00945DB2"/>
    <w:rsid w:val="009474C9"/>
    <w:rsid w:val="009572B0"/>
    <w:rsid w:val="00963D3B"/>
    <w:rsid w:val="009B215A"/>
    <w:rsid w:val="009C0776"/>
    <w:rsid w:val="009C6028"/>
    <w:rsid w:val="009D33EC"/>
    <w:rsid w:val="009D7477"/>
    <w:rsid w:val="009E17F0"/>
    <w:rsid w:val="00A14CF7"/>
    <w:rsid w:val="00A22469"/>
    <w:rsid w:val="00A22816"/>
    <w:rsid w:val="00A33A8F"/>
    <w:rsid w:val="00A37414"/>
    <w:rsid w:val="00A42684"/>
    <w:rsid w:val="00A5074B"/>
    <w:rsid w:val="00A51845"/>
    <w:rsid w:val="00A75A7D"/>
    <w:rsid w:val="00A8794E"/>
    <w:rsid w:val="00AA1BED"/>
    <w:rsid w:val="00AA6CF3"/>
    <w:rsid w:val="00AB4C5C"/>
    <w:rsid w:val="00AC418F"/>
    <w:rsid w:val="00AF7CF9"/>
    <w:rsid w:val="00B23AB3"/>
    <w:rsid w:val="00B27077"/>
    <w:rsid w:val="00B35273"/>
    <w:rsid w:val="00B42EB1"/>
    <w:rsid w:val="00B46FD3"/>
    <w:rsid w:val="00B63C4D"/>
    <w:rsid w:val="00B654B4"/>
    <w:rsid w:val="00B6561B"/>
    <w:rsid w:val="00B65D4B"/>
    <w:rsid w:val="00B670EE"/>
    <w:rsid w:val="00B71B4F"/>
    <w:rsid w:val="00BA0404"/>
    <w:rsid w:val="00BA6EE7"/>
    <w:rsid w:val="00BB6985"/>
    <w:rsid w:val="00BB75DF"/>
    <w:rsid w:val="00BC01F7"/>
    <w:rsid w:val="00BC6ADA"/>
    <w:rsid w:val="00BC79D2"/>
    <w:rsid w:val="00BD2DD4"/>
    <w:rsid w:val="00BD5A67"/>
    <w:rsid w:val="00BE1798"/>
    <w:rsid w:val="00BE54C4"/>
    <w:rsid w:val="00BF4D00"/>
    <w:rsid w:val="00C0288F"/>
    <w:rsid w:val="00C12121"/>
    <w:rsid w:val="00C2255F"/>
    <w:rsid w:val="00C4011C"/>
    <w:rsid w:val="00C44E23"/>
    <w:rsid w:val="00C47530"/>
    <w:rsid w:val="00C62391"/>
    <w:rsid w:val="00C7504E"/>
    <w:rsid w:val="00C760BD"/>
    <w:rsid w:val="00C837BA"/>
    <w:rsid w:val="00C90745"/>
    <w:rsid w:val="00C91A83"/>
    <w:rsid w:val="00C97128"/>
    <w:rsid w:val="00CB066C"/>
    <w:rsid w:val="00CC17BC"/>
    <w:rsid w:val="00CC222A"/>
    <w:rsid w:val="00D057BD"/>
    <w:rsid w:val="00D225E5"/>
    <w:rsid w:val="00D30DEE"/>
    <w:rsid w:val="00D40F11"/>
    <w:rsid w:val="00D42DF5"/>
    <w:rsid w:val="00D47B2D"/>
    <w:rsid w:val="00D64252"/>
    <w:rsid w:val="00DA0230"/>
    <w:rsid w:val="00DD3409"/>
    <w:rsid w:val="00DF1312"/>
    <w:rsid w:val="00DF5706"/>
    <w:rsid w:val="00E05007"/>
    <w:rsid w:val="00E1040D"/>
    <w:rsid w:val="00E14AE2"/>
    <w:rsid w:val="00E23387"/>
    <w:rsid w:val="00E23B1F"/>
    <w:rsid w:val="00E463D6"/>
    <w:rsid w:val="00E738A3"/>
    <w:rsid w:val="00E810B0"/>
    <w:rsid w:val="00E87678"/>
    <w:rsid w:val="00EB6BE0"/>
    <w:rsid w:val="00ED3203"/>
    <w:rsid w:val="00ED72BE"/>
    <w:rsid w:val="00EE722D"/>
    <w:rsid w:val="00EF3A40"/>
    <w:rsid w:val="00EF4313"/>
    <w:rsid w:val="00F06ED9"/>
    <w:rsid w:val="00F33109"/>
    <w:rsid w:val="00F367D6"/>
    <w:rsid w:val="00F4756F"/>
    <w:rsid w:val="00F50346"/>
    <w:rsid w:val="00F547A2"/>
    <w:rsid w:val="00F61533"/>
    <w:rsid w:val="00F74FEA"/>
    <w:rsid w:val="00F7519D"/>
    <w:rsid w:val="00F93E45"/>
    <w:rsid w:val="00F979B6"/>
    <w:rsid w:val="00FA06A9"/>
    <w:rsid w:val="00FF2CB4"/>
    <w:rsid w:val="00FF35C0"/>
    <w:rsid w:val="04211393"/>
    <w:rsid w:val="04AF546C"/>
    <w:rsid w:val="06AA54B4"/>
    <w:rsid w:val="0A2C2EA4"/>
    <w:rsid w:val="0A8D7997"/>
    <w:rsid w:val="0ABE576C"/>
    <w:rsid w:val="0BEF09B0"/>
    <w:rsid w:val="0C28306D"/>
    <w:rsid w:val="0C8E4716"/>
    <w:rsid w:val="0DCC06A1"/>
    <w:rsid w:val="0E8F6CE4"/>
    <w:rsid w:val="0F344F29"/>
    <w:rsid w:val="0F455427"/>
    <w:rsid w:val="0F833DB6"/>
    <w:rsid w:val="0F972804"/>
    <w:rsid w:val="1127622D"/>
    <w:rsid w:val="12295BA1"/>
    <w:rsid w:val="150B39CF"/>
    <w:rsid w:val="158B366C"/>
    <w:rsid w:val="15CA5CC3"/>
    <w:rsid w:val="166528F4"/>
    <w:rsid w:val="16710160"/>
    <w:rsid w:val="182A632F"/>
    <w:rsid w:val="18307F10"/>
    <w:rsid w:val="18A96B0C"/>
    <w:rsid w:val="19617D23"/>
    <w:rsid w:val="199F4933"/>
    <w:rsid w:val="1C256B27"/>
    <w:rsid w:val="1CFB3A9C"/>
    <w:rsid w:val="1F306EDA"/>
    <w:rsid w:val="204467D4"/>
    <w:rsid w:val="213C2DEE"/>
    <w:rsid w:val="218879EC"/>
    <w:rsid w:val="219B0D2E"/>
    <w:rsid w:val="22BC6D50"/>
    <w:rsid w:val="23813524"/>
    <w:rsid w:val="24730B3D"/>
    <w:rsid w:val="247F3E30"/>
    <w:rsid w:val="2483777A"/>
    <w:rsid w:val="26524696"/>
    <w:rsid w:val="282E437B"/>
    <w:rsid w:val="292A75D2"/>
    <w:rsid w:val="29C0055D"/>
    <w:rsid w:val="29FC2C3B"/>
    <w:rsid w:val="2B1B7F2B"/>
    <w:rsid w:val="2C35520A"/>
    <w:rsid w:val="2D297009"/>
    <w:rsid w:val="2D2D7955"/>
    <w:rsid w:val="2D94488F"/>
    <w:rsid w:val="2DF7051B"/>
    <w:rsid w:val="2E867CD0"/>
    <w:rsid w:val="2EC47150"/>
    <w:rsid w:val="2EC64065"/>
    <w:rsid w:val="2EF04DAC"/>
    <w:rsid w:val="2F41330F"/>
    <w:rsid w:val="2FB06FC7"/>
    <w:rsid w:val="30F916A5"/>
    <w:rsid w:val="31245C50"/>
    <w:rsid w:val="315437AD"/>
    <w:rsid w:val="316168F6"/>
    <w:rsid w:val="349E6C21"/>
    <w:rsid w:val="34EA237E"/>
    <w:rsid w:val="36872AFD"/>
    <w:rsid w:val="36F464BB"/>
    <w:rsid w:val="37014554"/>
    <w:rsid w:val="370234D1"/>
    <w:rsid w:val="382F778D"/>
    <w:rsid w:val="39456D2E"/>
    <w:rsid w:val="3A332045"/>
    <w:rsid w:val="3A7D3C24"/>
    <w:rsid w:val="3B6E4155"/>
    <w:rsid w:val="3B783CF6"/>
    <w:rsid w:val="3BC03386"/>
    <w:rsid w:val="3C5031D7"/>
    <w:rsid w:val="3C6E35BA"/>
    <w:rsid w:val="3D4C494C"/>
    <w:rsid w:val="3DFC5C2C"/>
    <w:rsid w:val="3E691CBE"/>
    <w:rsid w:val="3E8A3700"/>
    <w:rsid w:val="3EB559A4"/>
    <w:rsid w:val="3F0A535E"/>
    <w:rsid w:val="3F2040FB"/>
    <w:rsid w:val="3F69702C"/>
    <w:rsid w:val="3F8845E4"/>
    <w:rsid w:val="409728CF"/>
    <w:rsid w:val="409C44FE"/>
    <w:rsid w:val="41574CBC"/>
    <w:rsid w:val="41E66867"/>
    <w:rsid w:val="42F91DDB"/>
    <w:rsid w:val="43121CF7"/>
    <w:rsid w:val="43806882"/>
    <w:rsid w:val="43B6405B"/>
    <w:rsid w:val="47837790"/>
    <w:rsid w:val="48122FCB"/>
    <w:rsid w:val="48C41F58"/>
    <w:rsid w:val="4AA84823"/>
    <w:rsid w:val="4AF9434C"/>
    <w:rsid w:val="4BA12067"/>
    <w:rsid w:val="4BBF77A0"/>
    <w:rsid w:val="4BC336EA"/>
    <w:rsid w:val="4BE37601"/>
    <w:rsid w:val="4BE97067"/>
    <w:rsid w:val="4C6D2332"/>
    <w:rsid w:val="4D5765AE"/>
    <w:rsid w:val="4E9D5410"/>
    <w:rsid w:val="50063C66"/>
    <w:rsid w:val="529E0394"/>
    <w:rsid w:val="52B43E3A"/>
    <w:rsid w:val="530C15C3"/>
    <w:rsid w:val="550550A7"/>
    <w:rsid w:val="557C3BE9"/>
    <w:rsid w:val="559B60F2"/>
    <w:rsid w:val="55D031BF"/>
    <w:rsid w:val="568B553A"/>
    <w:rsid w:val="57697D41"/>
    <w:rsid w:val="57D453E9"/>
    <w:rsid w:val="592579CD"/>
    <w:rsid w:val="5A3A65B9"/>
    <w:rsid w:val="5BA5764F"/>
    <w:rsid w:val="5BA85F91"/>
    <w:rsid w:val="5F06242E"/>
    <w:rsid w:val="5F146C8F"/>
    <w:rsid w:val="5FB76071"/>
    <w:rsid w:val="6099040F"/>
    <w:rsid w:val="60A41E26"/>
    <w:rsid w:val="60D12938"/>
    <w:rsid w:val="61615F4B"/>
    <w:rsid w:val="626A7E64"/>
    <w:rsid w:val="63B2608C"/>
    <w:rsid w:val="64A23D93"/>
    <w:rsid w:val="650134AF"/>
    <w:rsid w:val="66437D7B"/>
    <w:rsid w:val="66915AAB"/>
    <w:rsid w:val="68107BBA"/>
    <w:rsid w:val="68B0605D"/>
    <w:rsid w:val="68F52686"/>
    <w:rsid w:val="69DC1BDD"/>
    <w:rsid w:val="6BC75889"/>
    <w:rsid w:val="6D60040F"/>
    <w:rsid w:val="6D9846CE"/>
    <w:rsid w:val="6DE21C73"/>
    <w:rsid w:val="6E1A6B3E"/>
    <w:rsid w:val="6EF3563C"/>
    <w:rsid w:val="6FB3704C"/>
    <w:rsid w:val="703C2EBA"/>
    <w:rsid w:val="71961F41"/>
    <w:rsid w:val="71BF1CB6"/>
    <w:rsid w:val="71D81222"/>
    <w:rsid w:val="721E0C5A"/>
    <w:rsid w:val="75B25B27"/>
    <w:rsid w:val="77692B6F"/>
    <w:rsid w:val="77CF62C4"/>
    <w:rsid w:val="7813645C"/>
    <w:rsid w:val="78263B10"/>
    <w:rsid w:val="78E333FC"/>
    <w:rsid w:val="7B3A1EC2"/>
    <w:rsid w:val="7BDF47E3"/>
    <w:rsid w:val="7C033114"/>
    <w:rsid w:val="7CAB3AE1"/>
    <w:rsid w:val="7D0C1DD9"/>
    <w:rsid w:val="7E5F74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alloon Text"/>
    <w:basedOn w:val="1"/>
    <w:link w:val="18"/>
    <w:unhideWhenUsed/>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paragraph" w:styleId="7">
    <w:name w:val="annotation subject"/>
    <w:basedOn w:val="2"/>
    <w:next w:val="2"/>
    <w:link w:val="21"/>
    <w:unhideWhenUsed/>
    <w:qFormat/>
    <w:uiPriority w:val="99"/>
    <w:rPr>
      <w:b/>
      <w:bCs/>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99"/>
    <w:rPr>
      <w:rFonts w:cs="Times New Roman"/>
      <w:b/>
      <w:bCs/>
    </w:rPr>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Char"/>
    <w:basedOn w:val="10"/>
    <w:link w:val="5"/>
    <w:semiHidden/>
    <w:qFormat/>
    <w:uiPriority w:val="99"/>
    <w:rPr>
      <w:rFonts w:ascii="Times New Roman" w:hAnsi="Times New Roman"/>
      <w:sz w:val="18"/>
      <w:szCs w:val="18"/>
    </w:rPr>
  </w:style>
  <w:style w:type="character" w:customStyle="1" w:styleId="15">
    <w:name w:val="页脚 Char"/>
    <w:basedOn w:val="10"/>
    <w:link w:val="4"/>
    <w:qFormat/>
    <w:uiPriority w:val="99"/>
    <w:rPr>
      <w:rFonts w:ascii="Times New Roman" w:hAnsi="Times New Roman"/>
      <w:sz w:val="18"/>
      <w:szCs w:val="18"/>
    </w:rPr>
  </w:style>
  <w:style w:type="character" w:customStyle="1" w:styleId="16">
    <w:name w:val="fontstyle01"/>
    <w:basedOn w:val="10"/>
    <w:qFormat/>
    <w:uiPriority w:val="0"/>
    <w:rPr>
      <w:rFonts w:hint="eastAsia" w:ascii="宋体" w:hAnsi="宋体" w:eastAsia="宋体" w:cs="宋体"/>
      <w:color w:val="000000"/>
      <w:sz w:val="22"/>
      <w:szCs w:val="22"/>
    </w:rPr>
  </w:style>
  <w:style w:type="character" w:customStyle="1" w:styleId="17">
    <w:name w:val="fontstyle11"/>
    <w:basedOn w:val="10"/>
    <w:qFormat/>
    <w:uiPriority w:val="0"/>
    <w:rPr>
      <w:rFonts w:ascii="仿宋" w:hAnsi="仿宋" w:eastAsia="仿宋" w:cs="仿宋"/>
      <w:color w:val="000000"/>
      <w:sz w:val="22"/>
      <w:szCs w:val="22"/>
    </w:rPr>
  </w:style>
  <w:style w:type="character" w:customStyle="1" w:styleId="18">
    <w:name w:val="批注框文本 Char"/>
    <w:basedOn w:val="10"/>
    <w:link w:val="3"/>
    <w:semiHidden/>
    <w:qFormat/>
    <w:uiPriority w:val="99"/>
    <w:rPr>
      <w:kern w:val="2"/>
      <w:sz w:val="18"/>
      <w:szCs w:val="18"/>
    </w:rPr>
  </w:style>
  <w:style w:type="paragraph" w:customStyle="1" w:styleId="19">
    <w:name w:val="列表段落1"/>
    <w:basedOn w:val="1"/>
    <w:unhideWhenUsed/>
    <w:qFormat/>
    <w:uiPriority w:val="99"/>
    <w:pPr>
      <w:ind w:firstLine="420" w:firstLineChars="200"/>
    </w:pPr>
  </w:style>
  <w:style w:type="character" w:customStyle="1" w:styleId="20">
    <w:name w:val="批注文字 Char"/>
    <w:basedOn w:val="10"/>
    <w:link w:val="2"/>
    <w:qFormat/>
    <w:uiPriority w:val="99"/>
    <w:rPr>
      <w:kern w:val="2"/>
      <w:sz w:val="21"/>
      <w:szCs w:val="22"/>
    </w:rPr>
  </w:style>
  <w:style w:type="character" w:customStyle="1" w:styleId="21">
    <w:name w:val="批注主题 Char"/>
    <w:basedOn w:val="20"/>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D752D8-897B-4EB3-86B9-A22ED7F84BD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5761</Words>
  <Characters>6291</Characters>
  <Lines>46</Lines>
  <Paragraphs>13</Paragraphs>
  <TotalTime>113</TotalTime>
  <ScaleCrop>false</ScaleCrop>
  <LinksUpToDate>false</LinksUpToDate>
  <CharactersWithSpaces>6400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2017-11-17T10:54:00Z</dcterms:created>
  <dc:creator>曹文芳</dc:creator>
  <cp:lastModifiedBy>曹旭红</cp:lastModifiedBy>
  <cp:lastPrinted>2019-10-22T10:51:00Z</cp:lastPrinted>
  <dcterms:modified xsi:type="dcterms:W3CDTF">2020-12-16T04:47:23Z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